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290A0" w14:textId="546BB09F" w:rsidR="002E520C" w:rsidRDefault="005D182D" w:rsidP="005D182D">
      <w:pPr>
        <w:jc w:val="center"/>
        <w:rPr>
          <w:rStyle w:val="Strong"/>
        </w:rPr>
      </w:pPr>
      <w:r>
        <w:rPr>
          <w:rStyle w:val="Strong"/>
        </w:rPr>
        <w:t>IMPORTANT INFORMATION ABOUT YOUR DRINKING WATER</w:t>
      </w:r>
    </w:p>
    <w:p w14:paraId="0176FC12" w14:textId="7801E7A9" w:rsidR="005D182D" w:rsidRDefault="005D182D" w:rsidP="005D182D">
      <w:pPr>
        <w:jc w:val="center"/>
        <w:rPr>
          <w:rStyle w:val="BookTitle"/>
          <w:i w:val="0"/>
          <w:iCs w:val="0"/>
        </w:rPr>
      </w:pPr>
      <w:r>
        <w:rPr>
          <w:rStyle w:val="BookTitle"/>
          <w:i w:val="0"/>
          <w:iCs w:val="0"/>
        </w:rPr>
        <w:t>Failure to Monitor Disinfection By-Products</w:t>
      </w:r>
    </w:p>
    <w:p w14:paraId="3C00A06D" w14:textId="7D06A394" w:rsidR="005D182D" w:rsidRDefault="00404234" w:rsidP="005D182D">
      <w:pPr>
        <w:rPr>
          <w:rStyle w:val="BookTitle"/>
          <w:b w:val="0"/>
          <w:bCs w:val="0"/>
          <w:i w:val="0"/>
          <w:iCs w:val="0"/>
        </w:rPr>
      </w:pPr>
      <w:r>
        <w:rPr>
          <w:rStyle w:val="BookTitle"/>
          <w:b w:val="0"/>
          <w:bCs w:val="0"/>
          <w:i w:val="0"/>
          <w:iCs w:val="0"/>
        </w:rPr>
        <w:t>Our Water System has violated a drinking water standard.  Although this is not an emergency, as our customers, you have a right to know what happened, what you should do, and what we are doing to correct this situation.</w:t>
      </w:r>
    </w:p>
    <w:p w14:paraId="5DC1296D" w14:textId="361CCC0F" w:rsidR="00404234" w:rsidRDefault="00404234" w:rsidP="005D182D">
      <w:pPr>
        <w:rPr>
          <w:rStyle w:val="BookTitle"/>
          <w:b w:val="0"/>
          <w:bCs w:val="0"/>
          <w:i w:val="0"/>
          <w:iCs w:val="0"/>
        </w:rPr>
      </w:pPr>
      <w:r>
        <w:rPr>
          <w:rStyle w:val="BookTitle"/>
          <w:b w:val="0"/>
          <w:bCs w:val="0"/>
          <w:i w:val="0"/>
          <w:iCs w:val="0"/>
        </w:rPr>
        <w:t xml:space="preserve">*We are required to monitor your drinking water for specific contaminants on a regular basis.  Results of regular monitoring are an indicator of </w:t>
      </w:r>
      <w:proofErr w:type="gramStart"/>
      <w:r>
        <w:rPr>
          <w:rStyle w:val="BookTitle"/>
          <w:b w:val="0"/>
          <w:bCs w:val="0"/>
          <w:i w:val="0"/>
          <w:iCs w:val="0"/>
        </w:rPr>
        <w:t>whether or not</w:t>
      </w:r>
      <w:proofErr w:type="gramEnd"/>
      <w:r>
        <w:rPr>
          <w:rStyle w:val="BookTitle"/>
          <w:b w:val="0"/>
          <w:bCs w:val="0"/>
          <w:i w:val="0"/>
          <w:iCs w:val="0"/>
        </w:rPr>
        <w:t xml:space="preserve"> our drinking water meets health standards.  We did not properly complete the required monitoring or testing for DISINFECTION BY-PRODUCTS (TTHMs &amp; HAA5s) during the 01/01/2019-12/31/2023 compliance period and therefore cannot be sure of the quality of our drinking water during that time.*</w:t>
      </w:r>
    </w:p>
    <w:p w14:paraId="154560AC" w14:textId="7999F96D" w:rsidR="00AF7F0B" w:rsidRDefault="00AF7F0B" w:rsidP="005D182D">
      <w:pPr>
        <w:rPr>
          <w:rStyle w:val="Strong"/>
        </w:rPr>
      </w:pPr>
      <w:r>
        <w:rPr>
          <w:rStyle w:val="Strong"/>
        </w:rPr>
        <w:t>What should I do?</w:t>
      </w:r>
    </w:p>
    <w:p w14:paraId="3776E575" w14:textId="65F56A0F" w:rsidR="00404234" w:rsidRDefault="00404234" w:rsidP="00AF7F0B">
      <w:pPr>
        <w:pStyle w:val="ListParagraph"/>
        <w:numPr>
          <w:ilvl w:val="0"/>
          <w:numId w:val="1"/>
        </w:numPr>
        <w:rPr>
          <w:rStyle w:val="Strong"/>
        </w:rPr>
      </w:pPr>
      <w:r>
        <w:rPr>
          <w:rStyle w:val="Strong"/>
        </w:rPr>
        <w:t xml:space="preserve">There is nothing you need to do </w:t>
      </w:r>
      <w:proofErr w:type="gramStart"/>
      <w:r>
        <w:rPr>
          <w:rStyle w:val="Strong"/>
        </w:rPr>
        <w:t>at this time</w:t>
      </w:r>
      <w:proofErr w:type="gramEnd"/>
      <w:r>
        <w:rPr>
          <w:rStyle w:val="Strong"/>
        </w:rPr>
        <w:t>.</w:t>
      </w:r>
    </w:p>
    <w:p w14:paraId="3CFA0E7E" w14:textId="796875AA" w:rsidR="00AF7F0B" w:rsidRDefault="00AF7F0B" w:rsidP="00AF7F0B">
      <w:pPr>
        <w:pStyle w:val="ListParagraph"/>
        <w:numPr>
          <w:ilvl w:val="0"/>
          <w:numId w:val="1"/>
        </w:numPr>
        <w:rPr>
          <w:rStyle w:val="Strong"/>
        </w:rPr>
      </w:pPr>
      <w:r>
        <w:rPr>
          <w:rStyle w:val="Strong"/>
        </w:rPr>
        <w:t xml:space="preserve">You </w:t>
      </w:r>
      <w:r w:rsidRPr="00AF7F0B">
        <w:rPr>
          <w:rStyle w:val="Strong"/>
          <w:u w:val="single"/>
        </w:rPr>
        <w:t>do not</w:t>
      </w:r>
      <w:r>
        <w:rPr>
          <w:rStyle w:val="Strong"/>
        </w:rPr>
        <w:t xml:space="preserve"> need to boil your water or take other corrective actions.</w:t>
      </w:r>
    </w:p>
    <w:p w14:paraId="6544BD2C" w14:textId="05BDDE11" w:rsidR="00AF7F0B" w:rsidRPr="00AF7F0B" w:rsidRDefault="00AF7F0B" w:rsidP="00AF7F0B">
      <w:pPr>
        <w:pStyle w:val="ListParagraph"/>
        <w:numPr>
          <w:ilvl w:val="0"/>
          <w:numId w:val="1"/>
        </w:numPr>
        <w:rPr>
          <w:rStyle w:val="Strong"/>
        </w:rPr>
      </w:pPr>
      <w:r>
        <w:rPr>
          <w:rStyle w:val="Strong"/>
          <w:b w:val="0"/>
          <w:bCs w:val="0"/>
        </w:rPr>
        <w:t xml:space="preserve">You </w:t>
      </w:r>
      <w:r>
        <w:rPr>
          <w:rStyle w:val="Strong"/>
          <w:b w:val="0"/>
          <w:bCs w:val="0"/>
          <w:u w:val="single"/>
        </w:rPr>
        <w:t>do not</w:t>
      </w:r>
      <w:r>
        <w:rPr>
          <w:rStyle w:val="Strong"/>
          <w:b w:val="0"/>
          <w:bCs w:val="0"/>
        </w:rPr>
        <w:t xml:space="preserve"> need to use an alternate (</w:t>
      </w:r>
      <w:r w:rsidR="005530AD">
        <w:rPr>
          <w:rStyle w:val="Strong"/>
          <w:b w:val="0"/>
          <w:bCs w:val="0"/>
        </w:rPr>
        <w:t>e.g.,</w:t>
      </w:r>
      <w:r>
        <w:rPr>
          <w:rStyle w:val="Strong"/>
          <w:b w:val="0"/>
          <w:bCs w:val="0"/>
        </w:rPr>
        <w:t xml:space="preserve"> bottled) water supply</w:t>
      </w:r>
    </w:p>
    <w:p w14:paraId="0F1B7BE7" w14:textId="16AC320C" w:rsidR="00AF7F0B" w:rsidRDefault="00AF7F0B" w:rsidP="00AF7F0B">
      <w:pPr>
        <w:rPr>
          <w:rStyle w:val="Strong"/>
        </w:rPr>
      </w:pPr>
      <w:r>
        <w:rPr>
          <w:rStyle w:val="Strong"/>
        </w:rPr>
        <w:t>What does this mean?</w:t>
      </w:r>
    </w:p>
    <w:p w14:paraId="51A1F156" w14:textId="6A9096C4" w:rsidR="00AF7F0B" w:rsidRDefault="00AF7F0B" w:rsidP="00AF7F0B">
      <w:pPr>
        <w:rPr>
          <w:rStyle w:val="Strong"/>
          <w:b w:val="0"/>
          <w:bCs w:val="0"/>
        </w:rPr>
      </w:pPr>
      <w:r w:rsidRPr="00AF7F0B">
        <w:rPr>
          <w:rStyle w:val="Strong"/>
          <w:b w:val="0"/>
          <w:bCs w:val="0"/>
        </w:rPr>
        <w:t>This is not an emergency.  If it had been, you would have</w:t>
      </w:r>
      <w:r>
        <w:rPr>
          <w:rStyle w:val="Strong"/>
          <w:b w:val="0"/>
          <w:bCs w:val="0"/>
        </w:rPr>
        <w:t xml:space="preserve"> been notified immediately.  </w:t>
      </w:r>
    </w:p>
    <w:p w14:paraId="4032946B" w14:textId="01CCBC6E" w:rsidR="00404234" w:rsidRDefault="00404234" w:rsidP="00AF7F0B">
      <w:pPr>
        <w:rPr>
          <w:rStyle w:val="Strong"/>
          <w:b w:val="0"/>
          <w:bCs w:val="0"/>
        </w:rPr>
      </w:pPr>
      <w:r>
        <w:rPr>
          <w:rStyle w:val="Strong"/>
        </w:rPr>
        <w:t>The table below gives more detailed information about this monitoring violation:</w:t>
      </w:r>
    </w:p>
    <w:tbl>
      <w:tblPr>
        <w:tblStyle w:val="TableGrid"/>
        <w:tblW w:w="0" w:type="auto"/>
        <w:tblLook w:val="04A0" w:firstRow="1" w:lastRow="0" w:firstColumn="1" w:lastColumn="0" w:noHBand="0" w:noVBand="1"/>
      </w:tblPr>
      <w:tblGrid>
        <w:gridCol w:w="1870"/>
        <w:gridCol w:w="1870"/>
        <w:gridCol w:w="2375"/>
        <w:gridCol w:w="1365"/>
        <w:gridCol w:w="1870"/>
      </w:tblGrid>
      <w:tr w:rsidR="00404234" w:rsidRPr="00404234" w14:paraId="2B354C2E" w14:textId="77777777" w:rsidTr="00404234">
        <w:tc>
          <w:tcPr>
            <w:tcW w:w="1870" w:type="dxa"/>
          </w:tcPr>
          <w:p w14:paraId="5A0E128A" w14:textId="0DB5E783" w:rsidR="00404234" w:rsidRPr="00404234" w:rsidRDefault="00404234" w:rsidP="00404234">
            <w:pPr>
              <w:jc w:val="center"/>
              <w:rPr>
                <w:rStyle w:val="Strong"/>
                <w:rFonts w:ascii="Courier New" w:hAnsi="Courier New" w:cs="Courier New"/>
                <w:b w:val="0"/>
                <w:bCs w:val="0"/>
                <w:sz w:val="20"/>
                <w:szCs w:val="20"/>
              </w:rPr>
            </w:pPr>
            <w:r w:rsidRPr="00404234">
              <w:rPr>
                <w:rStyle w:val="Strong"/>
                <w:rFonts w:ascii="Courier New" w:hAnsi="Courier New" w:cs="Courier New"/>
                <w:b w:val="0"/>
                <w:bCs w:val="0"/>
                <w:sz w:val="20"/>
                <w:szCs w:val="20"/>
              </w:rPr>
              <w:t>Contaminant?</w:t>
            </w:r>
          </w:p>
        </w:tc>
        <w:tc>
          <w:tcPr>
            <w:tcW w:w="1870" w:type="dxa"/>
          </w:tcPr>
          <w:p w14:paraId="68EA23BA" w14:textId="7819A4FA" w:rsidR="00404234" w:rsidRPr="00404234" w:rsidRDefault="00404234" w:rsidP="00404234">
            <w:pPr>
              <w:jc w:val="center"/>
              <w:rPr>
                <w:rStyle w:val="Strong"/>
                <w:rFonts w:ascii="Courier New" w:hAnsi="Courier New" w:cs="Courier New"/>
                <w:b w:val="0"/>
                <w:bCs w:val="0"/>
                <w:sz w:val="20"/>
                <w:szCs w:val="20"/>
              </w:rPr>
            </w:pPr>
            <w:r w:rsidRPr="00404234">
              <w:rPr>
                <w:rStyle w:val="Strong"/>
                <w:rFonts w:ascii="Courier New" w:hAnsi="Courier New" w:cs="Courier New"/>
                <w:b w:val="0"/>
                <w:bCs w:val="0"/>
                <w:sz w:val="20"/>
                <w:szCs w:val="20"/>
              </w:rPr>
              <w:t>Required number of samples that should have been taken?</w:t>
            </w:r>
          </w:p>
        </w:tc>
        <w:tc>
          <w:tcPr>
            <w:tcW w:w="2375" w:type="dxa"/>
          </w:tcPr>
          <w:p w14:paraId="7969907A" w14:textId="785ADDF1" w:rsidR="00404234" w:rsidRPr="00404234" w:rsidRDefault="00404234" w:rsidP="00404234">
            <w:pPr>
              <w:jc w:val="center"/>
              <w:rPr>
                <w:rStyle w:val="Strong"/>
                <w:rFonts w:ascii="Courier New" w:hAnsi="Courier New" w:cs="Courier New"/>
                <w:b w:val="0"/>
                <w:bCs w:val="0"/>
                <w:sz w:val="20"/>
                <w:szCs w:val="20"/>
              </w:rPr>
            </w:pPr>
            <w:r w:rsidRPr="00404234">
              <w:rPr>
                <w:rStyle w:val="Strong"/>
                <w:rFonts w:ascii="Courier New" w:hAnsi="Courier New" w:cs="Courier New"/>
                <w:b w:val="0"/>
                <w:bCs w:val="0"/>
                <w:sz w:val="20"/>
                <w:szCs w:val="20"/>
              </w:rPr>
              <w:t>Number of samples that were taken (if any)</w:t>
            </w:r>
          </w:p>
        </w:tc>
        <w:tc>
          <w:tcPr>
            <w:tcW w:w="1365" w:type="dxa"/>
          </w:tcPr>
          <w:p w14:paraId="61D88677" w14:textId="2A0B2ED7" w:rsidR="00404234" w:rsidRPr="00404234" w:rsidRDefault="00404234" w:rsidP="00404234">
            <w:pPr>
              <w:jc w:val="center"/>
              <w:rPr>
                <w:rStyle w:val="Strong"/>
                <w:rFonts w:ascii="Courier New" w:hAnsi="Courier New" w:cs="Courier New"/>
                <w:b w:val="0"/>
                <w:bCs w:val="0"/>
                <w:sz w:val="20"/>
                <w:szCs w:val="20"/>
              </w:rPr>
            </w:pPr>
            <w:r w:rsidRPr="00404234">
              <w:rPr>
                <w:rStyle w:val="Strong"/>
                <w:rFonts w:ascii="Courier New" w:hAnsi="Courier New" w:cs="Courier New"/>
                <w:b w:val="0"/>
                <w:bCs w:val="0"/>
                <w:sz w:val="20"/>
                <w:szCs w:val="20"/>
              </w:rPr>
              <w:t>When samples should have been taken?</w:t>
            </w:r>
          </w:p>
        </w:tc>
        <w:tc>
          <w:tcPr>
            <w:tcW w:w="1870" w:type="dxa"/>
          </w:tcPr>
          <w:p w14:paraId="4AAB5DAB" w14:textId="41793F48" w:rsidR="00404234" w:rsidRPr="00404234" w:rsidRDefault="00404234" w:rsidP="00404234">
            <w:pPr>
              <w:jc w:val="center"/>
              <w:rPr>
                <w:rStyle w:val="Strong"/>
                <w:rFonts w:ascii="Courier New" w:hAnsi="Courier New" w:cs="Courier New"/>
                <w:b w:val="0"/>
                <w:bCs w:val="0"/>
                <w:sz w:val="20"/>
                <w:szCs w:val="20"/>
              </w:rPr>
            </w:pPr>
            <w:r w:rsidRPr="00404234">
              <w:rPr>
                <w:rStyle w:val="Strong"/>
                <w:rFonts w:ascii="Courier New" w:hAnsi="Courier New" w:cs="Courier New"/>
                <w:b w:val="0"/>
                <w:bCs w:val="0"/>
                <w:sz w:val="20"/>
                <w:szCs w:val="20"/>
              </w:rPr>
              <w:t xml:space="preserve">When </w:t>
            </w:r>
            <w:proofErr w:type="gramStart"/>
            <w:r w:rsidRPr="00404234">
              <w:rPr>
                <w:rStyle w:val="Strong"/>
                <w:rFonts w:ascii="Courier New" w:hAnsi="Courier New" w:cs="Courier New"/>
                <w:b w:val="0"/>
                <w:bCs w:val="0"/>
                <w:sz w:val="20"/>
                <w:szCs w:val="20"/>
              </w:rPr>
              <w:t>samples were</w:t>
            </w:r>
            <w:proofErr w:type="gramEnd"/>
            <w:r w:rsidRPr="00404234">
              <w:rPr>
                <w:rStyle w:val="Strong"/>
                <w:rFonts w:ascii="Courier New" w:hAnsi="Courier New" w:cs="Courier New"/>
                <w:b w:val="0"/>
                <w:bCs w:val="0"/>
                <w:sz w:val="20"/>
                <w:szCs w:val="20"/>
              </w:rPr>
              <w:t xml:space="preserve"> taken (if any) or will be taken next?</w:t>
            </w:r>
          </w:p>
        </w:tc>
      </w:tr>
      <w:tr w:rsidR="00404234" w14:paraId="1F34C558" w14:textId="77777777" w:rsidTr="00404234">
        <w:tc>
          <w:tcPr>
            <w:tcW w:w="1870" w:type="dxa"/>
          </w:tcPr>
          <w:p w14:paraId="36B83922" w14:textId="6E8CB264" w:rsidR="00404234" w:rsidRDefault="00404234" w:rsidP="00404234">
            <w:pPr>
              <w:jc w:val="center"/>
              <w:rPr>
                <w:rStyle w:val="Strong"/>
                <w:b w:val="0"/>
                <w:bCs w:val="0"/>
              </w:rPr>
            </w:pPr>
            <w:r>
              <w:rPr>
                <w:rStyle w:val="Strong"/>
                <w:b w:val="0"/>
                <w:bCs w:val="0"/>
              </w:rPr>
              <w:t>TTHM</w:t>
            </w:r>
          </w:p>
        </w:tc>
        <w:tc>
          <w:tcPr>
            <w:tcW w:w="1870" w:type="dxa"/>
          </w:tcPr>
          <w:p w14:paraId="54749E93" w14:textId="77777777" w:rsidR="00404234" w:rsidRDefault="00404234" w:rsidP="00404234">
            <w:pPr>
              <w:jc w:val="center"/>
              <w:rPr>
                <w:rStyle w:val="Strong"/>
                <w:b w:val="0"/>
                <w:bCs w:val="0"/>
              </w:rPr>
            </w:pPr>
          </w:p>
        </w:tc>
        <w:tc>
          <w:tcPr>
            <w:tcW w:w="2375" w:type="dxa"/>
          </w:tcPr>
          <w:p w14:paraId="18F44359" w14:textId="26A48B42" w:rsidR="00404234" w:rsidRDefault="00404234" w:rsidP="00404234">
            <w:pPr>
              <w:jc w:val="center"/>
              <w:rPr>
                <w:rStyle w:val="Strong"/>
                <w:b w:val="0"/>
                <w:bCs w:val="0"/>
              </w:rPr>
            </w:pPr>
            <w:r>
              <w:rPr>
                <w:rStyle w:val="Strong"/>
                <w:b w:val="0"/>
                <w:bCs w:val="0"/>
              </w:rPr>
              <w:t>0</w:t>
            </w:r>
          </w:p>
        </w:tc>
        <w:tc>
          <w:tcPr>
            <w:tcW w:w="1365" w:type="dxa"/>
          </w:tcPr>
          <w:p w14:paraId="6DC86DEB" w14:textId="5D20CC31" w:rsidR="00404234" w:rsidRDefault="00404234" w:rsidP="00404234">
            <w:pPr>
              <w:jc w:val="center"/>
              <w:rPr>
                <w:rStyle w:val="Strong"/>
                <w:b w:val="0"/>
                <w:bCs w:val="0"/>
              </w:rPr>
            </w:pPr>
            <w:r>
              <w:rPr>
                <w:rStyle w:val="Strong"/>
                <w:b w:val="0"/>
                <w:bCs w:val="0"/>
              </w:rPr>
              <w:t>Between June 1</w:t>
            </w:r>
            <w:r w:rsidRPr="00404234">
              <w:rPr>
                <w:rStyle w:val="Strong"/>
                <w:b w:val="0"/>
                <w:bCs w:val="0"/>
                <w:vertAlign w:val="superscript"/>
              </w:rPr>
              <w:t>st</w:t>
            </w:r>
            <w:r>
              <w:rPr>
                <w:rStyle w:val="Strong"/>
                <w:b w:val="0"/>
                <w:bCs w:val="0"/>
              </w:rPr>
              <w:t xml:space="preserve"> and September 30</w:t>
            </w:r>
            <w:r w:rsidRPr="00404234">
              <w:rPr>
                <w:rStyle w:val="Strong"/>
                <w:b w:val="0"/>
                <w:bCs w:val="0"/>
                <w:vertAlign w:val="superscript"/>
              </w:rPr>
              <w:t>th</w:t>
            </w:r>
            <w:r>
              <w:rPr>
                <w:rStyle w:val="Strong"/>
                <w:b w:val="0"/>
                <w:bCs w:val="0"/>
              </w:rPr>
              <w:t xml:space="preserve">              of compliance period</w:t>
            </w:r>
          </w:p>
        </w:tc>
        <w:tc>
          <w:tcPr>
            <w:tcW w:w="1870" w:type="dxa"/>
          </w:tcPr>
          <w:p w14:paraId="3D2DC03D" w14:textId="77777777" w:rsidR="00404234" w:rsidRDefault="00404234" w:rsidP="00404234">
            <w:pPr>
              <w:jc w:val="center"/>
              <w:rPr>
                <w:rStyle w:val="Strong"/>
                <w:b w:val="0"/>
                <w:bCs w:val="0"/>
              </w:rPr>
            </w:pPr>
          </w:p>
        </w:tc>
      </w:tr>
      <w:tr w:rsidR="00404234" w14:paraId="664B2561" w14:textId="77777777" w:rsidTr="00404234">
        <w:tc>
          <w:tcPr>
            <w:tcW w:w="1870" w:type="dxa"/>
          </w:tcPr>
          <w:p w14:paraId="46838AFF" w14:textId="0569651B" w:rsidR="00404234" w:rsidRDefault="00404234" w:rsidP="00404234">
            <w:pPr>
              <w:jc w:val="center"/>
              <w:rPr>
                <w:rStyle w:val="Strong"/>
                <w:b w:val="0"/>
                <w:bCs w:val="0"/>
              </w:rPr>
            </w:pPr>
            <w:r>
              <w:rPr>
                <w:rStyle w:val="Strong"/>
                <w:b w:val="0"/>
                <w:bCs w:val="0"/>
              </w:rPr>
              <w:t>HAA5</w:t>
            </w:r>
          </w:p>
        </w:tc>
        <w:tc>
          <w:tcPr>
            <w:tcW w:w="1870" w:type="dxa"/>
          </w:tcPr>
          <w:p w14:paraId="3F784429" w14:textId="77777777" w:rsidR="00404234" w:rsidRDefault="00404234" w:rsidP="00404234">
            <w:pPr>
              <w:jc w:val="center"/>
              <w:rPr>
                <w:rStyle w:val="Strong"/>
                <w:b w:val="0"/>
                <w:bCs w:val="0"/>
              </w:rPr>
            </w:pPr>
          </w:p>
        </w:tc>
        <w:tc>
          <w:tcPr>
            <w:tcW w:w="2375" w:type="dxa"/>
          </w:tcPr>
          <w:p w14:paraId="03DBA57A" w14:textId="3A769D1E" w:rsidR="00404234" w:rsidRDefault="00404234" w:rsidP="00404234">
            <w:pPr>
              <w:jc w:val="center"/>
              <w:rPr>
                <w:rStyle w:val="Strong"/>
                <w:b w:val="0"/>
                <w:bCs w:val="0"/>
              </w:rPr>
            </w:pPr>
            <w:r>
              <w:rPr>
                <w:rStyle w:val="Strong"/>
                <w:b w:val="0"/>
                <w:bCs w:val="0"/>
              </w:rPr>
              <w:t>0</w:t>
            </w:r>
          </w:p>
        </w:tc>
        <w:tc>
          <w:tcPr>
            <w:tcW w:w="1365" w:type="dxa"/>
          </w:tcPr>
          <w:p w14:paraId="1C67DEDD" w14:textId="7E05B13E" w:rsidR="00404234" w:rsidRDefault="00404234" w:rsidP="00404234">
            <w:pPr>
              <w:jc w:val="center"/>
              <w:rPr>
                <w:rStyle w:val="Strong"/>
                <w:b w:val="0"/>
                <w:bCs w:val="0"/>
              </w:rPr>
            </w:pPr>
            <w:r>
              <w:rPr>
                <w:rStyle w:val="Strong"/>
                <w:b w:val="0"/>
                <w:bCs w:val="0"/>
              </w:rPr>
              <w:t>Between June 1</w:t>
            </w:r>
            <w:r w:rsidRPr="00404234">
              <w:rPr>
                <w:rStyle w:val="Strong"/>
                <w:b w:val="0"/>
                <w:bCs w:val="0"/>
                <w:vertAlign w:val="superscript"/>
              </w:rPr>
              <w:t>st</w:t>
            </w:r>
            <w:r>
              <w:rPr>
                <w:rStyle w:val="Strong"/>
                <w:b w:val="0"/>
                <w:bCs w:val="0"/>
              </w:rPr>
              <w:t xml:space="preserve"> and September 30</w:t>
            </w:r>
            <w:r w:rsidRPr="00404234">
              <w:rPr>
                <w:rStyle w:val="Strong"/>
                <w:b w:val="0"/>
                <w:bCs w:val="0"/>
                <w:vertAlign w:val="superscript"/>
              </w:rPr>
              <w:t>th</w:t>
            </w:r>
            <w:r>
              <w:rPr>
                <w:rStyle w:val="Strong"/>
                <w:b w:val="0"/>
                <w:bCs w:val="0"/>
              </w:rPr>
              <w:t xml:space="preserve">              of compliance period</w:t>
            </w:r>
          </w:p>
        </w:tc>
        <w:tc>
          <w:tcPr>
            <w:tcW w:w="1870" w:type="dxa"/>
          </w:tcPr>
          <w:p w14:paraId="57DD77D6" w14:textId="77777777" w:rsidR="00404234" w:rsidRDefault="00404234" w:rsidP="00404234">
            <w:pPr>
              <w:jc w:val="center"/>
              <w:rPr>
                <w:rStyle w:val="Strong"/>
                <w:b w:val="0"/>
                <w:bCs w:val="0"/>
              </w:rPr>
            </w:pPr>
          </w:p>
        </w:tc>
      </w:tr>
    </w:tbl>
    <w:p w14:paraId="15EBF6DB" w14:textId="01E1C94A" w:rsidR="00AF7F0B" w:rsidRDefault="00AF7F0B" w:rsidP="00AF7F0B">
      <w:pPr>
        <w:rPr>
          <w:rStyle w:val="Strong"/>
        </w:rPr>
      </w:pPr>
      <w:r>
        <w:rPr>
          <w:rStyle w:val="Strong"/>
        </w:rPr>
        <w:t>What was done?</w:t>
      </w:r>
    </w:p>
    <w:p w14:paraId="4FE5B316" w14:textId="671208A8" w:rsidR="00AF7F0B" w:rsidRDefault="00AF7F0B" w:rsidP="00AF7F0B">
      <w:pPr>
        <w:rPr>
          <w:rStyle w:val="Strong"/>
          <w:b w:val="0"/>
          <w:bCs w:val="0"/>
        </w:rPr>
      </w:pPr>
      <w:r>
        <w:rPr>
          <w:rStyle w:val="Strong"/>
          <w:b w:val="0"/>
          <w:bCs w:val="0"/>
        </w:rPr>
        <w:t>The required tests were performed and returned favorable results.  This situation is now resolved.</w:t>
      </w:r>
    </w:p>
    <w:p w14:paraId="1077D452" w14:textId="6FEE881F" w:rsidR="00AF7F0B" w:rsidRDefault="00AF7F0B" w:rsidP="00AF7F0B">
      <w:pPr>
        <w:rPr>
          <w:rStyle w:val="Strong"/>
          <w:b w:val="0"/>
          <w:bCs w:val="0"/>
        </w:rPr>
      </w:pPr>
      <w:r>
        <w:rPr>
          <w:rStyle w:val="Strong"/>
          <w:b w:val="0"/>
          <w:bCs w:val="0"/>
        </w:rPr>
        <w:t>For more information, or to learn more about protecting your drinking water, please contact City Hall at 770-884-9711.</w:t>
      </w:r>
    </w:p>
    <w:p w14:paraId="02ADEBE1" w14:textId="0391ACE6" w:rsidR="00AF7F0B" w:rsidRDefault="00AF7F0B" w:rsidP="00AF7F0B">
      <w:pPr>
        <w:rPr>
          <w:rStyle w:val="Strong"/>
          <w:b w:val="0"/>
          <w:bCs w:val="0"/>
        </w:rPr>
      </w:pPr>
      <w:r>
        <w:rPr>
          <w:rStyle w:val="Strong"/>
          <w:b w:val="0"/>
          <w:bCs w:val="0"/>
        </w:rPr>
        <w:t xml:space="preserve">Please share this information with all the other people who drink this water, especially those who may not have received this notice directly (for example, people in apartments, nursing homes, schools, and businesses).  You can do this by </w:t>
      </w:r>
      <w:r w:rsidR="005530AD">
        <w:rPr>
          <w:rStyle w:val="Strong"/>
          <w:b w:val="0"/>
          <w:bCs w:val="0"/>
        </w:rPr>
        <w:t>posting this notice in a public place or distributing copies by hand or mail.</w:t>
      </w:r>
    </w:p>
    <w:p w14:paraId="49542331" w14:textId="6262C78A" w:rsidR="005530AD" w:rsidRDefault="00404234" w:rsidP="00AF7F0B">
      <w:pPr>
        <w:rPr>
          <w:rStyle w:val="Strong"/>
          <w:b w:val="0"/>
          <w:bCs w:val="0"/>
        </w:rPr>
      </w:pPr>
      <w:r>
        <w:rPr>
          <w:rStyle w:val="Strong"/>
          <w:b w:val="0"/>
          <w:bCs w:val="0"/>
        </w:rPr>
        <w:t>This notice is provided by Molena Water System</w:t>
      </w:r>
    </w:p>
    <w:p w14:paraId="7C3649A7" w14:textId="52DAC5CA" w:rsidR="005530AD" w:rsidRPr="00AF7F0B" w:rsidRDefault="005530AD" w:rsidP="005530AD">
      <w:pPr>
        <w:jc w:val="right"/>
        <w:rPr>
          <w:rStyle w:val="Strong"/>
          <w:b w:val="0"/>
          <w:bCs w:val="0"/>
        </w:rPr>
      </w:pPr>
      <w:r>
        <w:rPr>
          <w:rStyle w:val="Strong"/>
          <w:b w:val="0"/>
          <w:bCs w:val="0"/>
        </w:rPr>
        <w:t>State Water System ID#GA2310002  Date Distributed 12/04/2023</w:t>
      </w:r>
    </w:p>
    <w:sectPr w:rsidR="005530AD" w:rsidRPr="00AF7F0B" w:rsidSect="007C1B14">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B4B5E"/>
    <w:multiLevelType w:val="hybridMultilevel"/>
    <w:tmpl w:val="344E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972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2D"/>
    <w:rsid w:val="002E520C"/>
    <w:rsid w:val="00404234"/>
    <w:rsid w:val="005530AD"/>
    <w:rsid w:val="005D182D"/>
    <w:rsid w:val="007C1B14"/>
    <w:rsid w:val="00AF7F0B"/>
    <w:rsid w:val="00E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46E22"/>
  <w15:chartTrackingRefBased/>
  <w15:docId w15:val="{16304058-EF6F-4EE5-B903-7AC23E9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D182D"/>
    <w:rPr>
      <w:b/>
      <w:bCs/>
    </w:rPr>
  </w:style>
  <w:style w:type="character" w:styleId="BookTitle">
    <w:name w:val="Book Title"/>
    <w:basedOn w:val="DefaultParagraphFont"/>
    <w:uiPriority w:val="33"/>
    <w:qFormat/>
    <w:rsid w:val="005D182D"/>
    <w:rPr>
      <w:b/>
      <w:bCs/>
      <w:i/>
      <w:iCs/>
      <w:spacing w:val="5"/>
    </w:rPr>
  </w:style>
  <w:style w:type="paragraph" w:styleId="ListParagraph">
    <w:name w:val="List Paragraph"/>
    <w:basedOn w:val="Normal"/>
    <w:uiPriority w:val="34"/>
    <w:qFormat/>
    <w:rsid w:val="00AF7F0B"/>
    <w:pPr>
      <w:ind w:left="720"/>
      <w:contextualSpacing/>
    </w:pPr>
  </w:style>
  <w:style w:type="table" w:styleId="TableGrid">
    <w:name w:val="Table Grid"/>
    <w:basedOn w:val="TableNormal"/>
    <w:uiPriority w:val="39"/>
    <w:rsid w:val="00404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Lee</dc:creator>
  <cp:keywords/>
  <dc:description/>
  <cp:lastModifiedBy>Tina Lee</cp:lastModifiedBy>
  <cp:revision>2</cp:revision>
  <cp:lastPrinted>2023-12-04T21:19:00Z</cp:lastPrinted>
  <dcterms:created xsi:type="dcterms:W3CDTF">2023-12-04T21:20:00Z</dcterms:created>
  <dcterms:modified xsi:type="dcterms:W3CDTF">2023-12-04T21:20:00Z</dcterms:modified>
</cp:coreProperties>
</file>